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tillium Web" w:cs="Titillium Web" w:eastAsia="Titillium Web" w:hAnsi="Titillium Web"/>
          <w:b w:val="1"/>
          <w:sz w:val="32"/>
          <w:szCs w:val="3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32"/>
          <w:szCs w:val="32"/>
          <w:rtl w:val="0"/>
        </w:rPr>
        <w:t xml:space="preserve">Welcome to Xtreme Xperience!</w:t>
      </w:r>
    </w:p>
    <w:p w:rsidR="00000000" w:rsidDel="00000000" w:rsidP="00000000" w:rsidRDefault="00000000" w:rsidRPr="00000000">
      <w:pPr>
        <w:contextualSpacing w:val="0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Before getting started with us on track, we would like to get the following information from you: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Legal Name: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Contact Info and Mailing Address: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Home Track: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Past Driving/Racing History: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How You Became An Instructor: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Tracks You Previously Instructed On: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Organizations You Have Instructed in the Right Seat With: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Certificates/Licenses Held: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Emergency Contact Info (List 2):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i w:val="1"/>
          <w:sz w:val="24"/>
          <w:szCs w:val="24"/>
          <w:u w:val="single"/>
          <w:rtl w:val="0"/>
        </w:rPr>
        <w:t xml:space="preserve">References (List 2):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line="276" w:lineRule="auto"/>
      <w:contextualSpacing w:val="0"/>
      <w:jc w:val="center"/>
      <w:rPr/>
    </w:pPr>
    <w:r w:rsidDel="00000000" w:rsidR="00000000" w:rsidRPr="00000000">
      <w:rPr>
        <w:rFonts w:ascii="Titillium Web" w:cs="Titillium Web" w:eastAsia="Titillium Web" w:hAnsi="Titillium Web"/>
        <w:sz w:val="24"/>
        <w:szCs w:val="24"/>
        <w:rtl w:val="0"/>
      </w:rPr>
      <w:t xml:space="preserve">Xtreme Xperience, LLC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line="276" w:lineRule="auto"/>
      <w:contextualSpacing w:val="0"/>
      <w:jc w:val="center"/>
      <w:rPr/>
    </w:pPr>
    <w:r w:rsidDel="00000000" w:rsidR="00000000" w:rsidRPr="00000000">
      <w:rPr>
        <w:rFonts w:ascii="Titillium Web" w:cs="Titillium Web" w:eastAsia="Titillium Web" w:hAnsi="Titillium Web"/>
        <w:sz w:val="24"/>
        <w:szCs w:val="24"/>
        <w:rtl w:val="0"/>
      </w:rPr>
      <w:t xml:space="preserve">1454 W Willow St, Chicago, IL 60642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line="276" w:lineRule="auto"/>
      <w:contextualSpacing w:val="0"/>
      <w:jc w:val="center"/>
      <w:rPr/>
    </w:pPr>
    <w:r w:rsidDel="00000000" w:rsidR="00000000" w:rsidRPr="00000000">
      <w:rPr>
        <w:rFonts w:ascii="Titillium Web" w:cs="Titillium Web" w:eastAsia="Titillium Web" w:hAnsi="Titillium Web"/>
        <w:sz w:val="24"/>
        <w:szCs w:val="24"/>
        <w:rtl w:val="0"/>
      </w:rPr>
      <w:t xml:space="preserve">866.273.7727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720" w:line="276" w:lineRule="auto"/>
      <w:contextualSpacing w:val="0"/>
      <w:jc w:val="center"/>
      <w:rPr/>
    </w:pPr>
    <w:r w:rsidDel="00000000" w:rsidR="00000000" w:rsidRPr="00000000">
      <w:rPr>
        <w:rFonts w:ascii="Titillium Web" w:cs="Titillium Web" w:eastAsia="Titillium Web" w:hAnsi="Titillium Web"/>
        <w:b w:val="1"/>
        <w:color w:val="ff6600"/>
        <w:sz w:val="24"/>
        <w:szCs w:val="24"/>
        <w:rtl w:val="0"/>
      </w:rPr>
      <w:t xml:space="preserve">Real</w:t>
    </w:r>
    <w:r w:rsidDel="00000000" w:rsidR="00000000" w:rsidRPr="00000000">
      <w:rPr>
        <w:rFonts w:ascii="Titillium Web" w:cs="Titillium Web" w:eastAsia="Titillium Web" w:hAnsi="Titillium Web"/>
        <w:b w:val="1"/>
        <w:sz w:val="24"/>
        <w:szCs w:val="24"/>
        <w:rtl w:val="0"/>
      </w:rPr>
      <w:t xml:space="preserve"> Supercars. </w:t>
    </w:r>
    <w:r w:rsidDel="00000000" w:rsidR="00000000" w:rsidRPr="00000000">
      <w:rPr>
        <w:rFonts w:ascii="Titillium Web" w:cs="Titillium Web" w:eastAsia="Titillium Web" w:hAnsi="Titillium Web"/>
        <w:b w:val="1"/>
        <w:color w:val="ff6600"/>
        <w:sz w:val="24"/>
        <w:szCs w:val="24"/>
        <w:rtl w:val="0"/>
      </w:rPr>
      <w:t xml:space="preserve">Real</w:t>
    </w:r>
    <w:r w:rsidDel="00000000" w:rsidR="00000000" w:rsidRPr="00000000">
      <w:rPr>
        <w:rFonts w:ascii="Titillium Web" w:cs="Titillium Web" w:eastAsia="Titillium Web" w:hAnsi="Titillium Web"/>
        <w:b w:val="1"/>
        <w:sz w:val="24"/>
        <w:szCs w:val="24"/>
        <w:rtl w:val="0"/>
      </w:rPr>
      <w:t xml:space="preserve"> Racetracks. </w:t>
    </w:r>
    <w:r w:rsidDel="00000000" w:rsidR="00000000" w:rsidRPr="00000000">
      <w:rPr>
        <w:rFonts w:ascii="Titillium Web" w:cs="Titillium Web" w:eastAsia="Titillium Web" w:hAnsi="Titillium Web"/>
        <w:b w:val="1"/>
        <w:color w:val="ff6600"/>
        <w:sz w:val="24"/>
        <w:szCs w:val="24"/>
        <w:rtl w:val="0"/>
      </w:rPr>
      <w:t xml:space="preserve">Real</w:t>
    </w:r>
    <w:r w:rsidDel="00000000" w:rsidR="00000000" w:rsidRPr="00000000">
      <w:rPr>
        <w:rFonts w:ascii="Titillium Web" w:cs="Titillium Web" w:eastAsia="Titillium Web" w:hAnsi="Titillium Web"/>
        <w:b w:val="1"/>
        <w:sz w:val="24"/>
        <w:szCs w:val="24"/>
        <w:rtl w:val="0"/>
      </w:rPr>
      <w:t xml:space="preserve"> Instruction.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/>
      <w:drawing>
        <wp:inline distB="228600" distT="228600" distL="228600" distR="228600">
          <wp:extent cx="3411991" cy="4048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11991" cy="404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